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77579" w14:textId="2E5FE726" w:rsidR="00820C08" w:rsidRPr="001E0A28" w:rsidRDefault="00820C08" w:rsidP="00820C0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101-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C916BE" w:rsidRPr="00CA141D">
        <w:rPr>
          <w:rFonts w:ascii="Arial" w:eastAsiaTheme="minorEastAsia" w:hAnsi="Arial" w:cs="Arial"/>
          <w:b/>
          <w:sz w:val="24"/>
          <w:szCs w:val="24"/>
          <w:lang w:eastAsia="zh-CN"/>
        </w:rPr>
        <w:t>220</w:t>
      </w:r>
      <w:r w:rsidR="00C916BE">
        <w:rPr>
          <w:rFonts w:ascii="Arial" w:eastAsiaTheme="minorEastAsia" w:hAnsi="Arial" w:cs="Arial"/>
          <w:b/>
          <w:sz w:val="24"/>
          <w:szCs w:val="24"/>
          <w:lang w:eastAsia="zh-CN"/>
        </w:rPr>
        <w:t>2666</w:t>
      </w:r>
    </w:p>
    <w:p w14:paraId="47626558" w14:textId="77777777" w:rsidR="00820C08" w:rsidRDefault="00820C08" w:rsidP="00820C0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Jan. 17</w:t>
      </w:r>
      <w:r w:rsidRPr="0034624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25</w:t>
      </w:r>
      <w:r w:rsidRPr="0034624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p w14:paraId="24D6B843" w14:textId="77777777" w:rsidR="00820C08" w:rsidRPr="007E1AF3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77777777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bookmarkStart w:id="0" w:name="_GoBack"/>
      <w:bookmarkEnd w:id="0"/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209C5402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820C08" w:rsidRPr="00820C08">
        <w:rPr>
          <w:rFonts w:ascii="Arial" w:hAnsi="Arial" w:cs="Arial"/>
          <w:color w:val="000000"/>
          <w:sz w:val="22"/>
          <w:lang w:eastAsia="zh-CN"/>
        </w:rPr>
        <w:t>WF on RRM impact on unified TCI in FeMIMO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0608F8A2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>Rel-17 FeMIMO RRM</w:t>
      </w:r>
      <w:r w:rsidR="001827A3" w:rsidRPr="001827A3">
        <w:rPr>
          <w:rFonts w:eastAsiaTheme="minorEastAsia"/>
          <w:lang w:eastAsia="zh-CN"/>
        </w:rPr>
        <w:t xml:space="preserve"> </w:t>
      </w:r>
      <w:r w:rsidR="001827A3">
        <w:rPr>
          <w:rFonts w:eastAsiaTheme="minorEastAsia"/>
          <w:lang w:eastAsia="zh-CN"/>
        </w:rPr>
        <w:t>w.r.t. unified TCI</w:t>
      </w:r>
      <w:r w:rsidR="00E37529">
        <w:rPr>
          <w:rFonts w:eastAsiaTheme="minorEastAsia"/>
          <w:lang w:eastAsia="zh-CN"/>
        </w:rPr>
        <w:t xml:space="preserve"> in RAN4 #10</w:t>
      </w:r>
      <w:r w:rsidR="00FC7DD6">
        <w:rPr>
          <w:rFonts w:eastAsiaTheme="minorEastAsia"/>
          <w:lang w:eastAsia="zh-CN"/>
        </w:rPr>
        <w:t>1</w:t>
      </w:r>
      <w:r w:rsidR="00820C08">
        <w:rPr>
          <w:rFonts w:eastAsiaTheme="minorEastAsia"/>
          <w:lang w:eastAsia="zh-CN"/>
        </w:rPr>
        <w:t>-bis-e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0E6C84A5" w14:textId="20B9AB9E" w:rsidR="008B24C2" w:rsidRDefault="00687D40" w:rsidP="004745F6">
      <w:pPr>
        <w:pStyle w:val="1"/>
        <w:rPr>
          <w:lang w:eastAsia="ja-JP"/>
        </w:rPr>
      </w:pPr>
      <w:r>
        <w:rPr>
          <w:lang w:eastAsia="ja-JP"/>
        </w:rPr>
        <w:t>Agreements in GTW session</w:t>
      </w:r>
      <w:r w:rsidR="00820C08">
        <w:rPr>
          <w:lang w:eastAsia="ja-JP"/>
        </w:rPr>
        <w:t xml:space="preserve"> </w:t>
      </w:r>
      <w:r w:rsidR="00820C08">
        <w:rPr>
          <w:rFonts w:hint="eastAsia"/>
          <w:lang w:eastAsia="zh-CN"/>
        </w:rPr>
        <w:t>(</w:t>
      </w:r>
      <w:r w:rsidR="00820C08">
        <w:rPr>
          <w:lang w:eastAsia="zh-CN"/>
        </w:rPr>
        <w:t>Jan. 20)</w:t>
      </w:r>
    </w:p>
    <w:p w14:paraId="087D6449" w14:textId="71CC6009" w:rsidR="00A65595" w:rsidRDefault="00A65595" w:rsidP="00A65595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 w:hint="eastAsia"/>
          <w:color w:val="0070C0"/>
          <w:lang w:val="en-US" w:eastAsia="zh-CN"/>
        </w:rPr>
        <w:t>I</w:t>
      </w:r>
      <w:r>
        <w:rPr>
          <w:rFonts w:eastAsiaTheme="minorEastAsia"/>
          <w:color w:val="0070C0"/>
          <w:lang w:val="en-US" w:eastAsia="zh-CN"/>
        </w:rPr>
        <w:t xml:space="preserve">n GTW session, the following bullets have been agreed </w:t>
      </w:r>
    </w:p>
    <w:p w14:paraId="6B531A9A" w14:textId="01691C20" w:rsidR="00820C08" w:rsidRDefault="00820C08" w:rsidP="00820C0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MAC-CE</w:t>
      </w:r>
      <w:r w:rsidRPr="00670B05">
        <w:rPr>
          <w:rFonts w:eastAsiaTheme="minorEastAsia"/>
          <w:b/>
          <w:u w:val="single"/>
          <w:lang w:eastAsia="zh-CN"/>
        </w:rPr>
        <w:t xml:space="preserve"> based </w:t>
      </w:r>
      <w:r>
        <w:rPr>
          <w:rFonts w:eastAsiaTheme="minorEastAsia"/>
          <w:b/>
          <w:u w:val="single"/>
          <w:lang w:eastAsia="zh-CN"/>
        </w:rPr>
        <w:t xml:space="preserve">UL </w:t>
      </w:r>
      <w:r w:rsidRPr="00670B05">
        <w:rPr>
          <w:rFonts w:eastAsiaTheme="minorEastAsia"/>
          <w:b/>
          <w:u w:val="single"/>
          <w:lang w:eastAsia="zh-CN"/>
        </w:rPr>
        <w:t xml:space="preserve">TCI state switching delay </w:t>
      </w:r>
      <w:r w:rsidRPr="00B77457">
        <w:rPr>
          <w:rFonts w:eastAsiaTheme="minorEastAsia"/>
          <w:b/>
          <w:u w:val="single"/>
          <w:lang w:eastAsia="zh-CN"/>
        </w:rPr>
        <w:t>in separate UL/DL mode</w:t>
      </w:r>
    </w:p>
    <w:p w14:paraId="1B6B547D" w14:textId="77777777" w:rsidR="00820C08" w:rsidRPr="00C916BE" w:rsidRDefault="00820C08" w:rsidP="00820C08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C916BE">
        <w:rPr>
          <w:rFonts w:eastAsiaTheme="minorEastAsia"/>
          <w:lang w:eastAsia="zh-CN"/>
        </w:rPr>
        <w:t xml:space="preserve">Known TCI case: </w:t>
      </w:r>
    </w:p>
    <w:p w14:paraId="7F94ECF7" w14:textId="77777777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rFonts w:eastAsia="Times New Roman"/>
          <w:bCs/>
          <w:szCs w:val="21"/>
        </w:rPr>
        <w:t>T</w:t>
      </w:r>
      <w:r w:rsidRPr="00C916BE">
        <w:rPr>
          <w:rFonts w:eastAsia="Times New Roman"/>
          <w:bCs/>
          <w:szCs w:val="21"/>
          <w:vertAlign w:val="subscript"/>
        </w:rPr>
        <w:t>HARQ</w:t>
      </w:r>
      <w:r w:rsidRPr="00C916BE">
        <w:rPr>
          <w:rFonts w:eastAsia="Times New Roman"/>
          <w:bCs/>
          <w:szCs w:val="21"/>
        </w:rPr>
        <w:t xml:space="preserve"> + 3ms + NM*(T</w:t>
      </w:r>
      <w:r w:rsidRPr="00C916BE">
        <w:rPr>
          <w:rFonts w:eastAsia="Times New Roman"/>
          <w:bCs/>
          <w:szCs w:val="21"/>
          <w:vertAlign w:val="subscript"/>
        </w:rPr>
        <w:t xml:space="preserve">first_target-PL-RS </w:t>
      </w:r>
      <w:r w:rsidRPr="00C916BE">
        <w:rPr>
          <w:rFonts w:eastAsia="Times New Roman"/>
          <w:bCs/>
          <w:szCs w:val="21"/>
        </w:rPr>
        <w:t>+ 4*T</w:t>
      </w:r>
      <w:r w:rsidRPr="00C916BE">
        <w:rPr>
          <w:rFonts w:eastAsia="Times New Roman"/>
          <w:bCs/>
          <w:szCs w:val="21"/>
          <w:vertAlign w:val="subscript"/>
        </w:rPr>
        <w:t xml:space="preserve">target_PL-RS </w:t>
      </w:r>
      <w:r w:rsidRPr="00C916BE">
        <w:rPr>
          <w:rFonts w:eastAsia="Times New Roman"/>
          <w:bCs/>
          <w:szCs w:val="21"/>
        </w:rPr>
        <w:t>+ 2ms)</w:t>
      </w:r>
    </w:p>
    <w:p w14:paraId="0F53AA5B" w14:textId="77777777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lang w:eastAsia="ja-JP"/>
        </w:rPr>
        <w:t>NM is equal to 1 if PL-RS is not maintained, and equal to 0 otherwise</w:t>
      </w:r>
    </w:p>
    <w:p w14:paraId="17BB2AD2" w14:textId="77777777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lang w:eastAsia="ja-JP"/>
        </w:rPr>
        <w:t>FFS whether NM is allowed to be equal to 1 in Rel-17 specification</w:t>
      </w:r>
    </w:p>
    <w:p w14:paraId="026671E4" w14:textId="77777777" w:rsidR="00820C08" w:rsidRPr="00C916BE" w:rsidRDefault="00820C08" w:rsidP="00820C08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C916BE">
        <w:rPr>
          <w:rFonts w:eastAsiaTheme="minorEastAsia"/>
          <w:lang w:eastAsia="zh-CN"/>
        </w:rPr>
        <w:t xml:space="preserve">Unknown TCI case: </w:t>
      </w:r>
    </w:p>
    <w:p w14:paraId="2F2BE2C3" w14:textId="77777777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rFonts w:eastAsia="Times New Roman"/>
          <w:bCs/>
          <w:szCs w:val="21"/>
        </w:rPr>
        <w:t>T</w:t>
      </w:r>
      <w:r w:rsidRPr="00C916BE">
        <w:rPr>
          <w:rFonts w:eastAsia="Times New Roman"/>
          <w:bCs/>
          <w:szCs w:val="21"/>
          <w:vertAlign w:val="subscript"/>
        </w:rPr>
        <w:t>HARQ</w:t>
      </w:r>
      <w:r w:rsidRPr="00C916BE">
        <w:rPr>
          <w:rFonts w:eastAsia="Times New Roman"/>
          <w:bCs/>
          <w:szCs w:val="21"/>
        </w:rPr>
        <w:t xml:space="preserve"> + 3ms + T</w:t>
      </w:r>
      <w:r w:rsidRPr="00C916BE">
        <w:rPr>
          <w:rFonts w:eastAsia="Times New Roman"/>
          <w:bCs/>
          <w:szCs w:val="21"/>
          <w:vertAlign w:val="subscript"/>
        </w:rPr>
        <w:t xml:space="preserve">L1-RSRP </w:t>
      </w:r>
      <w:r w:rsidRPr="00C916BE">
        <w:rPr>
          <w:rFonts w:eastAsia="Times New Roman"/>
          <w:bCs/>
          <w:szCs w:val="21"/>
        </w:rPr>
        <w:t>+ (T</w:t>
      </w:r>
      <w:r w:rsidRPr="00C916BE">
        <w:rPr>
          <w:rFonts w:eastAsia="Times New Roman"/>
          <w:bCs/>
          <w:szCs w:val="21"/>
          <w:vertAlign w:val="subscript"/>
        </w:rPr>
        <w:t xml:space="preserve">first_target-PL-RS </w:t>
      </w:r>
      <w:r w:rsidRPr="00C916BE">
        <w:rPr>
          <w:rFonts w:eastAsia="Times New Roman"/>
          <w:bCs/>
          <w:szCs w:val="21"/>
        </w:rPr>
        <w:t>+ 4*T</w:t>
      </w:r>
      <w:r w:rsidRPr="00C916BE">
        <w:rPr>
          <w:rFonts w:eastAsia="Times New Roman"/>
          <w:bCs/>
          <w:szCs w:val="21"/>
          <w:vertAlign w:val="subscript"/>
        </w:rPr>
        <w:t xml:space="preserve">target_PL-RS </w:t>
      </w:r>
      <w:r w:rsidRPr="00C916BE">
        <w:rPr>
          <w:rFonts w:eastAsia="Times New Roman"/>
          <w:bCs/>
          <w:szCs w:val="21"/>
        </w:rPr>
        <w:t>+ 2ms)</w:t>
      </w:r>
    </w:p>
    <w:p w14:paraId="6E308313" w14:textId="31B8697E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rFonts w:eastAsia="Times New Roman"/>
          <w:bCs/>
          <w:szCs w:val="21"/>
        </w:rPr>
        <w:t>Requirements will be defined for beam alignment case</w:t>
      </w:r>
    </w:p>
    <w:p w14:paraId="0AB3CA23" w14:textId="09861F10" w:rsidR="00820C08" w:rsidRDefault="00820C08" w:rsidP="00820C08">
      <w:pPr>
        <w:spacing w:after="120"/>
        <w:rPr>
          <w:rFonts w:eastAsia="Yu Mincho"/>
          <w:highlight w:val="green"/>
          <w:lang w:eastAsia="ja-JP"/>
        </w:rPr>
      </w:pPr>
    </w:p>
    <w:p w14:paraId="7962711D" w14:textId="4FDEA294" w:rsidR="00820C08" w:rsidRPr="00820C08" w:rsidRDefault="00820C08" w:rsidP="00820C08">
      <w:pPr>
        <w:spacing w:after="120"/>
        <w:rPr>
          <w:rFonts w:eastAsiaTheme="minorEastAsia"/>
          <w:b/>
          <w:u w:val="single"/>
          <w:lang w:eastAsia="zh-CN"/>
        </w:rPr>
      </w:pPr>
      <w:r w:rsidRPr="00820C08">
        <w:rPr>
          <w:rFonts w:eastAsiaTheme="minorEastAsia"/>
          <w:b/>
          <w:u w:val="single"/>
          <w:lang w:eastAsia="zh-CN"/>
        </w:rPr>
        <w:t>MAC-CE based joint UL and DL TCI state switching delay</w:t>
      </w:r>
    </w:p>
    <w:p w14:paraId="23FB17E2" w14:textId="77777777" w:rsidR="00820C08" w:rsidRPr="00C916BE" w:rsidRDefault="00820C08" w:rsidP="00820C08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eastAsia="ja-JP"/>
        </w:rPr>
      </w:pPr>
      <w:r w:rsidRPr="00C916BE">
        <w:rPr>
          <w:lang w:val="sv-SE"/>
        </w:rPr>
        <w:t xml:space="preserve">No extra requirement needed for </w:t>
      </w:r>
      <w:r w:rsidRPr="00C916BE">
        <w:rPr>
          <w:rFonts w:eastAsiaTheme="minorEastAsia"/>
        </w:rPr>
        <w:t xml:space="preserve">Joint TCI mode, </w:t>
      </w:r>
      <w:r w:rsidRPr="00C916BE">
        <w:rPr>
          <w:rFonts w:eastAsia="Calibri"/>
        </w:rPr>
        <w:t>DL and UL requirements can be applicable independently</w:t>
      </w:r>
    </w:p>
    <w:p w14:paraId="72CFF0D8" w14:textId="77777777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rFonts w:eastAsia="Calibri"/>
        </w:rPr>
        <w:t>Note: it is not expected that UE will be required to make DL reception or UL transmission before UE completes the DL or UL TCI state switching, respectively</w:t>
      </w:r>
    </w:p>
    <w:p w14:paraId="2E579411" w14:textId="77777777" w:rsidR="00820C08" w:rsidRPr="00C916BE" w:rsidRDefault="00820C08" w:rsidP="00820C0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ja-JP"/>
        </w:rPr>
      </w:pPr>
      <w:r w:rsidRPr="00C916BE">
        <w:rPr>
          <w:rFonts w:eastAsia="Calibri"/>
        </w:rPr>
        <w:t xml:space="preserve">FFS for test procedure for </w:t>
      </w:r>
      <w:r w:rsidRPr="00C916BE">
        <w:rPr>
          <w:rFonts w:eastAsiaTheme="minorEastAsia"/>
        </w:rPr>
        <w:t>Joint TCI mode</w:t>
      </w:r>
    </w:p>
    <w:p w14:paraId="1C8A6581" w14:textId="0464D66A" w:rsidR="00820C08" w:rsidRPr="00820C08" w:rsidRDefault="00820C08" w:rsidP="00820C08">
      <w:pPr>
        <w:spacing w:after="120"/>
        <w:rPr>
          <w:rFonts w:eastAsiaTheme="minorEastAsia"/>
          <w:u w:val="single"/>
          <w:lang w:eastAsia="zh-CN"/>
        </w:rPr>
      </w:pPr>
    </w:p>
    <w:p w14:paraId="13120868" w14:textId="1FDD23CB" w:rsidR="00687D40" w:rsidRDefault="00494BCC" w:rsidP="00687D40">
      <w:pPr>
        <w:pStyle w:val="1"/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>n Unified TCI State Switching</w:t>
      </w:r>
    </w:p>
    <w:p w14:paraId="615BB07C" w14:textId="30D923EB" w:rsidR="00704FC2" w:rsidRDefault="00820C08" w:rsidP="001100EF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sv-SE"/>
        </w:rPr>
      </w:pPr>
      <w:r w:rsidRPr="001100EF">
        <w:rPr>
          <w:lang w:val="sv-SE"/>
        </w:rPr>
        <w:t>The Spec structures of Unified TCI State Switching Delay</w:t>
      </w:r>
    </w:p>
    <w:p w14:paraId="1543B70E" w14:textId="42F4E329" w:rsidR="00280487" w:rsidRDefault="00280487" w:rsidP="00280487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lastRenderedPageBreak/>
        <w:t xml:space="preserve">To use the following specification structure as baseline </w:t>
      </w:r>
    </w:p>
    <w:tbl>
      <w:tblPr>
        <w:tblStyle w:val="a5"/>
        <w:tblW w:w="0" w:type="auto"/>
        <w:tblInd w:w="791" w:type="dxa"/>
        <w:tblLook w:val="04A0" w:firstRow="1" w:lastRow="0" w:firstColumn="1" w:lastColumn="0" w:noHBand="0" w:noVBand="1"/>
      </w:tblPr>
      <w:tblGrid>
        <w:gridCol w:w="8156"/>
      </w:tblGrid>
      <w:tr w:rsidR="00280487" w14:paraId="4640C234" w14:textId="77777777" w:rsidTr="00280487">
        <w:tc>
          <w:tcPr>
            <w:tcW w:w="8156" w:type="dxa"/>
          </w:tcPr>
          <w:p w14:paraId="2F78F32E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8.15 Active downlink TCI state switching delay for unified TCI </w:t>
            </w:r>
          </w:p>
          <w:p w14:paraId="4E15F18B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8.15.1 Introduction </w:t>
            </w:r>
          </w:p>
          <w:p w14:paraId="3AE0466D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8.15.2 Known condition for downlink TCI state </w:t>
            </w:r>
          </w:p>
          <w:p w14:paraId="48FA90C6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8.15.3 MAC-CE based downlink TCI state switch delay </w:t>
            </w:r>
          </w:p>
          <w:p w14:paraId="4F90D937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8.15.4 DCI based downlink TCI state switch delay </w:t>
            </w:r>
          </w:p>
          <w:p w14:paraId="02E9F24B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8.15.5 Active downlink TCI state list update delay </w:t>
            </w:r>
          </w:p>
          <w:p w14:paraId="6400DC85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8.16 Active uplink TCI state switching delay for unified TCI </w:t>
            </w:r>
          </w:p>
          <w:p w14:paraId="1018B9C8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8.16.1 Introduction </w:t>
            </w:r>
          </w:p>
          <w:p w14:paraId="1F9BE182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8.16.2 Known condition for uplink TCI state </w:t>
            </w:r>
          </w:p>
          <w:p w14:paraId="3A270661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8.16.3 MAC-CE based uplink TCI state switch delay </w:t>
            </w:r>
          </w:p>
          <w:p w14:paraId="062C7C07" w14:textId="77777777" w:rsidR="00280487" w:rsidRDefault="00280487" w:rsidP="0028048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8.16.4 DCI based uplink TCI state switch delay </w:t>
            </w:r>
          </w:p>
          <w:p w14:paraId="46A86BEA" w14:textId="2C8FFE4D" w:rsidR="00280487" w:rsidRDefault="00280487" w:rsidP="00280487">
            <w:pPr>
              <w:pStyle w:val="a3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ab/>
              <w:t xml:space="preserve">8.16.5 Active uplink TCI state list update delay </w:t>
            </w:r>
          </w:p>
        </w:tc>
      </w:tr>
    </w:tbl>
    <w:p w14:paraId="068183D0" w14:textId="77777777" w:rsidR="00280487" w:rsidRPr="00280487" w:rsidRDefault="00280487" w:rsidP="00280487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280487">
        <w:rPr>
          <w:lang w:val="sv-SE"/>
        </w:rPr>
        <w:t xml:space="preserve">Companies are encouraged to bring the CRs in next meeting based on baseline specification structure </w:t>
      </w:r>
    </w:p>
    <w:p w14:paraId="47BB63C0" w14:textId="17026BB6" w:rsidR="00280487" w:rsidRPr="001100EF" w:rsidRDefault="00280487" w:rsidP="00280487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280487">
        <w:rPr>
          <w:lang w:val="sv-SE"/>
        </w:rPr>
        <w:t>For joint TCI state switching requirements, companies which prefer new section, can also bring CRs</w:t>
      </w:r>
      <w:r>
        <w:rPr>
          <w:lang w:val="sv-SE"/>
        </w:rPr>
        <w:t xml:space="preserve"> for such new section</w:t>
      </w:r>
      <w:r w:rsidRPr="00280487">
        <w:rPr>
          <w:lang w:val="sv-SE"/>
        </w:rPr>
        <w:t xml:space="preserve"> in the next meeting for further discussions</w:t>
      </w:r>
    </w:p>
    <w:p w14:paraId="2BC63D3A" w14:textId="12D9F45C" w:rsidR="00AC400B" w:rsidRPr="001100EF" w:rsidRDefault="00AC400B" w:rsidP="001100EF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sv-SE"/>
        </w:rPr>
      </w:pPr>
      <w:r w:rsidRPr="001100EF">
        <w:rPr>
          <w:lang w:val="sv-SE"/>
        </w:rPr>
        <w:t>Switching delay requirements for unified TCI associated with SC</w:t>
      </w:r>
    </w:p>
    <w:p w14:paraId="06587422" w14:textId="30335E5E" w:rsidR="00F96192" w:rsidRDefault="009B4958" w:rsidP="001100E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For TCI known case, the </w:t>
      </w:r>
      <w:r w:rsidR="00346173">
        <w:rPr>
          <w:lang w:val="sv-SE"/>
        </w:rPr>
        <w:t xml:space="preserve">MAC CE based uplink TCI switching </w:t>
      </w:r>
      <w:r>
        <w:rPr>
          <w:lang w:val="sv-SE"/>
        </w:rPr>
        <w:t xml:space="preserve">delay requirement is specified as </w:t>
      </w:r>
    </w:p>
    <w:p w14:paraId="32A94FD4" w14:textId="022D793E" w:rsidR="009B4958" w:rsidRPr="00346173" w:rsidRDefault="009B4958" w:rsidP="009B4958">
      <w:pPr>
        <w:pStyle w:val="a3"/>
        <w:overflowPunct/>
        <w:autoSpaceDE/>
        <w:autoSpaceDN/>
        <w:adjustRightInd/>
        <w:spacing w:after="120"/>
        <w:ind w:left="1580" w:firstLineChars="0" w:firstLine="0"/>
        <w:textAlignment w:val="auto"/>
        <w:rPr>
          <w:rFonts w:eastAsia="Times New Roman"/>
          <w:bCs/>
          <w:i/>
          <w:szCs w:val="21"/>
        </w:rPr>
      </w:pPr>
      <w:r w:rsidRPr="00346173">
        <w:rPr>
          <w:rFonts w:eastAsia="Times New Roman"/>
          <w:bCs/>
          <w:i/>
          <w:szCs w:val="21"/>
        </w:rPr>
        <w:t>T</w:t>
      </w:r>
      <w:r w:rsidRPr="00346173">
        <w:rPr>
          <w:rFonts w:eastAsia="Times New Roman"/>
          <w:bCs/>
          <w:i/>
          <w:szCs w:val="21"/>
          <w:vertAlign w:val="subscript"/>
        </w:rPr>
        <w:t>HARQ</w:t>
      </w:r>
      <w:r w:rsidRPr="00346173">
        <w:rPr>
          <w:rFonts w:eastAsia="Times New Roman"/>
          <w:bCs/>
          <w:i/>
          <w:szCs w:val="21"/>
        </w:rPr>
        <w:t xml:space="preserve"> + 3ms + NM*(T</w:t>
      </w:r>
      <w:r w:rsidRPr="00346173">
        <w:rPr>
          <w:rFonts w:eastAsia="Times New Roman"/>
          <w:bCs/>
          <w:i/>
          <w:szCs w:val="21"/>
          <w:vertAlign w:val="subscript"/>
        </w:rPr>
        <w:t xml:space="preserve">first_target-PL-RS </w:t>
      </w:r>
      <w:r w:rsidRPr="00346173">
        <w:rPr>
          <w:rFonts w:eastAsia="Times New Roman"/>
          <w:bCs/>
          <w:i/>
          <w:szCs w:val="21"/>
        </w:rPr>
        <w:t>+ 4*T</w:t>
      </w:r>
      <w:r w:rsidRPr="00346173">
        <w:rPr>
          <w:rFonts w:eastAsia="Times New Roman"/>
          <w:bCs/>
          <w:i/>
          <w:szCs w:val="21"/>
          <w:vertAlign w:val="subscript"/>
        </w:rPr>
        <w:t xml:space="preserve">target_PL-RS </w:t>
      </w:r>
      <w:r w:rsidRPr="00346173">
        <w:rPr>
          <w:rFonts w:eastAsia="Times New Roman"/>
          <w:bCs/>
          <w:i/>
          <w:szCs w:val="21"/>
        </w:rPr>
        <w:t>+ 2ms)</w:t>
      </w:r>
    </w:p>
    <w:p w14:paraId="2590E750" w14:textId="173734B9" w:rsidR="009B4958" w:rsidRPr="009B4958" w:rsidRDefault="009B4958" w:rsidP="009B4958">
      <w:pPr>
        <w:pStyle w:val="a3"/>
        <w:overflowPunct/>
        <w:autoSpaceDE/>
        <w:autoSpaceDN/>
        <w:adjustRightInd/>
        <w:spacing w:after="120"/>
        <w:ind w:left="1580" w:firstLineChars="0" w:firstLine="0"/>
        <w:textAlignment w:val="auto"/>
        <w:rPr>
          <w:rFonts w:eastAsiaTheme="minorEastAsia"/>
          <w:bCs/>
          <w:szCs w:val="21"/>
          <w:lang w:eastAsia="zh-CN"/>
        </w:rPr>
      </w:pPr>
      <w:r>
        <w:rPr>
          <w:rFonts w:eastAsiaTheme="minorEastAsia" w:hint="eastAsia"/>
          <w:bCs/>
          <w:szCs w:val="21"/>
          <w:lang w:eastAsia="zh-CN"/>
        </w:rPr>
        <w:t>W</w:t>
      </w:r>
      <w:r>
        <w:rPr>
          <w:rFonts w:eastAsiaTheme="minorEastAsia"/>
          <w:bCs/>
          <w:szCs w:val="21"/>
          <w:lang w:eastAsia="zh-CN"/>
        </w:rPr>
        <w:t>here</w:t>
      </w:r>
    </w:p>
    <w:p w14:paraId="2127F75C" w14:textId="73A7AD0E" w:rsidR="009B4958" w:rsidRDefault="009B4958" w:rsidP="009B4958">
      <w:pPr>
        <w:pStyle w:val="a3"/>
        <w:overflowPunct/>
        <w:autoSpaceDE/>
        <w:autoSpaceDN/>
        <w:adjustRightInd/>
        <w:spacing w:after="120"/>
        <w:ind w:leftChars="890" w:left="1780" w:firstLineChars="0" w:firstLine="0"/>
        <w:textAlignment w:val="auto"/>
        <w:rPr>
          <w:rFonts w:eastAsia="Times New Roman"/>
          <w:bCs/>
          <w:szCs w:val="21"/>
        </w:rPr>
      </w:pPr>
      <w:r>
        <w:rPr>
          <w:lang w:eastAsia="zh-CN"/>
        </w:rPr>
        <w:t>NM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1, if the target PL-RS is not maintained by the UE, 0 otherwise</w:t>
      </w:r>
      <w:r>
        <w:rPr>
          <w:rFonts w:eastAsia="Times New Roman"/>
          <w:bCs/>
          <w:szCs w:val="21"/>
        </w:rPr>
        <w:t xml:space="preserve"> </w:t>
      </w:r>
    </w:p>
    <w:p w14:paraId="02A6ECD3" w14:textId="169CAD49" w:rsidR="00346173" w:rsidRPr="00346173" w:rsidRDefault="00346173" w:rsidP="00346173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346173">
        <w:rPr>
          <w:lang w:val="sv-SE"/>
        </w:rPr>
        <w:t xml:space="preserve">For TCI unknow case, </w:t>
      </w:r>
      <w:r>
        <w:rPr>
          <w:lang w:val="sv-SE"/>
        </w:rPr>
        <w:t>MAC CE based uplink TCI switching delay</w:t>
      </w:r>
      <w:r w:rsidRPr="00346173">
        <w:rPr>
          <w:lang w:val="sv-SE"/>
        </w:rPr>
        <w:t xml:space="preserve"> requirement is specified as </w:t>
      </w:r>
    </w:p>
    <w:p w14:paraId="3B23049D" w14:textId="4974DE77" w:rsidR="00346173" w:rsidRPr="00346173" w:rsidRDefault="00346173" w:rsidP="00346173">
      <w:pPr>
        <w:pStyle w:val="a3"/>
        <w:overflowPunct/>
        <w:autoSpaceDE/>
        <w:autoSpaceDN/>
        <w:adjustRightInd/>
        <w:spacing w:after="120"/>
        <w:ind w:left="1800" w:firstLineChars="0" w:firstLine="0"/>
        <w:textAlignment w:val="auto"/>
        <w:rPr>
          <w:rFonts w:eastAsia="Times New Roman"/>
          <w:bCs/>
          <w:i/>
          <w:szCs w:val="21"/>
        </w:rPr>
      </w:pPr>
      <w:r w:rsidRPr="00346173">
        <w:rPr>
          <w:rFonts w:eastAsia="Times New Roman"/>
          <w:bCs/>
          <w:i/>
          <w:szCs w:val="21"/>
        </w:rPr>
        <w:t>T</w:t>
      </w:r>
      <w:r w:rsidRPr="00346173">
        <w:rPr>
          <w:rFonts w:eastAsia="Times New Roman"/>
          <w:bCs/>
          <w:i/>
          <w:szCs w:val="21"/>
          <w:vertAlign w:val="subscript"/>
        </w:rPr>
        <w:t>HARQ</w:t>
      </w:r>
      <w:r w:rsidRPr="00346173">
        <w:rPr>
          <w:rFonts w:eastAsia="Times New Roman"/>
          <w:bCs/>
          <w:i/>
          <w:szCs w:val="21"/>
        </w:rPr>
        <w:t xml:space="preserve"> + 3ms + T</w:t>
      </w:r>
      <w:r w:rsidRPr="00346173">
        <w:rPr>
          <w:rFonts w:eastAsia="Times New Roman"/>
          <w:bCs/>
          <w:i/>
          <w:szCs w:val="21"/>
          <w:vertAlign w:val="subscript"/>
        </w:rPr>
        <w:t xml:space="preserve">L1-RSRP </w:t>
      </w:r>
      <w:r w:rsidRPr="00346173">
        <w:rPr>
          <w:rFonts w:eastAsia="Times New Roman"/>
          <w:bCs/>
          <w:i/>
          <w:szCs w:val="21"/>
        </w:rPr>
        <w:t>+ (T</w:t>
      </w:r>
      <w:r w:rsidRPr="00346173">
        <w:rPr>
          <w:rFonts w:eastAsia="Times New Roman"/>
          <w:bCs/>
          <w:i/>
          <w:szCs w:val="21"/>
          <w:vertAlign w:val="subscript"/>
        </w:rPr>
        <w:t xml:space="preserve">first_target-PL-RS </w:t>
      </w:r>
      <w:r w:rsidRPr="00346173">
        <w:rPr>
          <w:rFonts w:eastAsia="Times New Roman"/>
          <w:bCs/>
          <w:i/>
          <w:szCs w:val="21"/>
        </w:rPr>
        <w:t>+ 4*T</w:t>
      </w:r>
      <w:r w:rsidRPr="00346173">
        <w:rPr>
          <w:rFonts w:eastAsia="Times New Roman"/>
          <w:bCs/>
          <w:i/>
          <w:szCs w:val="21"/>
          <w:vertAlign w:val="subscript"/>
        </w:rPr>
        <w:t xml:space="preserve">target_PL-RS </w:t>
      </w:r>
      <w:r w:rsidRPr="00346173">
        <w:rPr>
          <w:rFonts w:eastAsia="Times New Roman"/>
          <w:bCs/>
          <w:i/>
          <w:szCs w:val="21"/>
        </w:rPr>
        <w:t xml:space="preserve">+ 2ms) </w:t>
      </w:r>
    </w:p>
    <w:p w14:paraId="078721FD" w14:textId="29718D65" w:rsidR="009B4958" w:rsidRDefault="009B4958" w:rsidP="001100E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RAN4 will further study and confirm the below beam alignment defination </w:t>
      </w:r>
      <w:r w:rsidR="00346173">
        <w:rPr>
          <w:lang w:val="sv-SE"/>
        </w:rPr>
        <w:t>as applicability scenario for uplink TCI switching requirements</w:t>
      </w:r>
    </w:p>
    <w:p w14:paraId="662FA121" w14:textId="77777777" w:rsidR="009B4958" w:rsidRPr="009B4958" w:rsidRDefault="009B4958" w:rsidP="009B4958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9B4958">
        <w:rPr>
          <w:lang w:val="sv-SE"/>
        </w:rPr>
        <w:t>If PL-RS is included in UL TCI or joint TCI, PL-RS is identical to the source RS in UL or joint TCI</w:t>
      </w:r>
    </w:p>
    <w:p w14:paraId="4C454DFF" w14:textId="77777777" w:rsidR="009B4958" w:rsidRPr="009B4958" w:rsidRDefault="009B4958" w:rsidP="009B4958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9B4958">
        <w:rPr>
          <w:lang w:val="sv-SE"/>
        </w:rPr>
        <w:t>If PL-RS is associated UL TCI or joint TCI, PL-RS and source RS in UL or joint TCI is QCL-Type D.</w:t>
      </w:r>
    </w:p>
    <w:p w14:paraId="589F602D" w14:textId="5F3FBBDB" w:rsidR="00A85660" w:rsidRDefault="00A85660" w:rsidP="00A35C7E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 w:eastAsia="zh-CN"/>
        </w:rPr>
        <w:t xml:space="preserve">It is common understanding that </w:t>
      </w:r>
      <w:r w:rsidRPr="00B363C3">
        <w:rPr>
          <w:lang w:val="sv-SE" w:eastAsia="zh-CN"/>
        </w:rPr>
        <w:t>TCI state switching delay requirement can be defined for UL TCI and DL TCI switching respectively</w:t>
      </w:r>
      <w:r w:rsidR="00F96192" w:rsidRPr="009B4958">
        <w:rPr>
          <w:lang w:val="sv-SE"/>
        </w:rPr>
        <w:t xml:space="preserve"> </w:t>
      </w:r>
    </w:p>
    <w:p w14:paraId="70D90B59" w14:textId="744B044F" w:rsidR="00F96192" w:rsidRDefault="009B4958" w:rsidP="00A35C7E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RAN4 will further study if </w:t>
      </w:r>
      <w:r w:rsidR="00F96192" w:rsidRPr="009B4958">
        <w:rPr>
          <w:lang w:val="sv-SE"/>
        </w:rPr>
        <w:t>MAC-CE based TCI state-pair indication requirement</w:t>
      </w:r>
      <w:r>
        <w:rPr>
          <w:lang w:val="sv-SE"/>
        </w:rPr>
        <w:t xml:space="preserve"> will be specified </w:t>
      </w:r>
    </w:p>
    <w:p w14:paraId="7CF13F0F" w14:textId="427A8AAD" w:rsidR="009A01B6" w:rsidRPr="009B4958" w:rsidRDefault="009A01B6" w:rsidP="00A35C7E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C916BE">
        <w:rPr>
          <w:lang w:val="sv-SE"/>
        </w:rPr>
        <w:lastRenderedPageBreak/>
        <w:t>RAN4 is to specified DCI based DL/UL TCI state switch delay for unified TCI based on RAN1 agreements on beam application time (BAT) . FFS on detailed wording to be included in specification.</w:t>
      </w:r>
    </w:p>
    <w:p w14:paraId="79185919" w14:textId="7723C2A9" w:rsidR="00AC400B" w:rsidRPr="001100EF" w:rsidRDefault="00AC400B" w:rsidP="001100EF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sv-SE"/>
        </w:rPr>
      </w:pPr>
      <w:r w:rsidRPr="001100EF">
        <w:rPr>
          <w:lang w:val="sv-SE"/>
        </w:rPr>
        <w:t>Switching delay requirements for unified TCI associated with ”NSC”</w:t>
      </w:r>
    </w:p>
    <w:p w14:paraId="0FD4B634" w14:textId="2BC6F798" w:rsidR="00882F7F" w:rsidRDefault="00882F7F" w:rsidP="009B495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Times New Roman"/>
          <w:bCs/>
          <w:szCs w:val="21"/>
          <w:lang w:val="sv-SE"/>
        </w:rPr>
      </w:pPr>
      <w:r>
        <w:rPr>
          <w:rFonts w:eastAsiaTheme="minorEastAsia" w:hint="eastAsia"/>
          <w:bCs/>
          <w:szCs w:val="21"/>
          <w:lang w:val="sv-SE" w:eastAsia="zh-CN"/>
        </w:rPr>
        <w:t>N</w:t>
      </w:r>
      <w:r>
        <w:rPr>
          <w:rFonts w:eastAsiaTheme="minorEastAsia"/>
          <w:bCs/>
          <w:szCs w:val="21"/>
          <w:lang w:val="sv-SE" w:eastAsia="zh-CN"/>
        </w:rPr>
        <w:t xml:space="preserve">SC in TCI switching delay will be specified as </w:t>
      </w:r>
      <w:r>
        <w:rPr>
          <w:rFonts w:eastAsiaTheme="minorEastAsia" w:hint="eastAsia"/>
          <w:bCs/>
          <w:szCs w:val="21"/>
          <w:lang w:val="sv-SE" w:eastAsia="zh-CN"/>
        </w:rPr>
        <w:t>“</w:t>
      </w:r>
      <w:r>
        <w:rPr>
          <w:i/>
          <w:iCs/>
          <w:lang w:eastAsia="zh-CN"/>
        </w:rPr>
        <w:t>a cell with PCI different from a serving cel</w:t>
      </w:r>
      <w:r w:rsidRPr="00882F7F">
        <w:rPr>
          <w:i/>
          <w:iCs/>
          <w:lang w:eastAsia="zh-CN"/>
        </w:rPr>
        <w:t>l</w:t>
      </w:r>
      <w:r>
        <w:rPr>
          <w:rFonts w:eastAsiaTheme="minorEastAsia"/>
          <w:bCs/>
          <w:szCs w:val="21"/>
          <w:lang w:val="sv-SE" w:eastAsia="zh-CN"/>
        </w:rPr>
        <w:t>”</w:t>
      </w:r>
    </w:p>
    <w:p w14:paraId="6C22ED21" w14:textId="2E445DF1" w:rsidR="009B4958" w:rsidRPr="00882F7F" w:rsidRDefault="009B4958" w:rsidP="009B4958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Times New Roman"/>
          <w:bCs/>
          <w:szCs w:val="21"/>
          <w:lang w:val="sv-SE"/>
        </w:rPr>
      </w:pPr>
      <w:r w:rsidRPr="005F4781">
        <w:rPr>
          <w:rFonts w:eastAsia="Times New Roman"/>
          <w:bCs/>
          <w:szCs w:val="21"/>
          <w:lang w:val="sv-SE"/>
        </w:rPr>
        <w:t>MAC-CE based</w:t>
      </w:r>
      <w:r>
        <w:rPr>
          <w:rFonts w:eastAsia="Times New Roman"/>
          <w:bCs/>
          <w:szCs w:val="21"/>
          <w:lang w:val="sv-SE"/>
        </w:rPr>
        <w:t xml:space="preserve"> and DCI based</w:t>
      </w:r>
      <w:r w:rsidRPr="005F4781">
        <w:rPr>
          <w:rFonts w:eastAsia="Times New Roman"/>
          <w:bCs/>
          <w:szCs w:val="21"/>
          <w:lang w:val="sv-SE"/>
        </w:rPr>
        <w:t xml:space="preserve"> TCI switching delay does not have difference for a serving cell and </w:t>
      </w:r>
      <w:r w:rsidR="00882F7F" w:rsidRPr="00882F7F">
        <w:rPr>
          <w:rFonts w:eastAsia="Times New Roman"/>
          <w:bCs/>
          <w:szCs w:val="21"/>
          <w:lang w:val="sv-SE"/>
        </w:rPr>
        <w:t>a cell with PCI different from a serving cell</w:t>
      </w:r>
      <w:r w:rsidR="00882F7F">
        <w:rPr>
          <w:rFonts w:eastAsia="Times New Roman"/>
          <w:bCs/>
          <w:szCs w:val="21"/>
          <w:lang w:val="sv-SE"/>
        </w:rPr>
        <w:t xml:space="preserve"> based on the following conditions</w:t>
      </w:r>
      <w:r w:rsidRPr="005F4781">
        <w:rPr>
          <w:rFonts w:eastAsia="Times New Roman"/>
          <w:bCs/>
          <w:szCs w:val="21"/>
          <w:lang w:val="sv-SE"/>
        </w:rPr>
        <w:t>.</w:t>
      </w:r>
      <w:r>
        <w:rPr>
          <w:rFonts w:eastAsia="Times New Roman"/>
          <w:bCs/>
          <w:szCs w:val="21"/>
          <w:lang w:val="sv-SE"/>
        </w:rPr>
        <w:t xml:space="preserve"> </w:t>
      </w:r>
    </w:p>
    <w:p w14:paraId="0FE98CD2" w14:textId="77777777" w:rsidR="00882F7F" w:rsidRPr="00882F7F" w:rsidRDefault="00882F7F" w:rsidP="00882F7F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882F7F">
        <w:rPr>
          <w:rFonts w:eastAsia="Yu Mincho" w:hint="eastAsia"/>
          <w:bCs/>
          <w:lang w:eastAsia="ja-JP"/>
        </w:rPr>
        <w:t>A</w:t>
      </w:r>
      <w:r>
        <w:rPr>
          <w:rFonts w:eastAsia="Yu Mincho"/>
          <w:bCs/>
          <w:lang w:eastAsia="ja-JP"/>
        </w:rPr>
        <w:t xml:space="preserve">ctive BWP of cell with different PCI shall be within active BWP of serving cell </w:t>
      </w:r>
    </w:p>
    <w:p w14:paraId="42660CD4" w14:textId="77777777" w:rsidR="00882F7F" w:rsidRDefault="00882F7F" w:rsidP="00882F7F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rFonts w:eastAsia="Yu Mincho"/>
          <w:bCs/>
          <w:lang w:eastAsia="ja-JP"/>
        </w:rPr>
        <w:t>SCS between cell with different PCI and serving cell shall the same</w:t>
      </w:r>
      <w:r w:rsidRPr="001100EF">
        <w:rPr>
          <w:lang w:val="sv-SE"/>
        </w:rPr>
        <w:t xml:space="preserve"> </w:t>
      </w:r>
    </w:p>
    <w:p w14:paraId="48DB33A2" w14:textId="5622FD6B" w:rsidR="00F96192" w:rsidRDefault="00882F7F" w:rsidP="00882F7F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rFonts w:eastAsia="Yu Mincho"/>
          <w:bCs/>
          <w:lang w:eastAsia="ja-JP"/>
        </w:rPr>
        <w:t>Timing offset between SC and NSC are within CP</w:t>
      </w:r>
      <w:r w:rsidR="00085833" w:rsidRPr="001100EF">
        <w:rPr>
          <w:lang w:val="sv-SE"/>
        </w:rPr>
        <w:t xml:space="preserve"> </w:t>
      </w:r>
    </w:p>
    <w:p w14:paraId="1760C711" w14:textId="51A5C4BD" w:rsidR="00882F7F" w:rsidRDefault="00882F7F" w:rsidP="00882F7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RAN4 will further study whether to specify the requirements if above conditions do not meet. </w:t>
      </w:r>
    </w:p>
    <w:p w14:paraId="6B397D2B" w14:textId="172890CF" w:rsidR="00AC400B" w:rsidRPr="001100EF" w:rsidRDefault="00085833" w:rsidP="001100EF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sv-SE"/>
        </w:rPr>
      </w:pPr>
      <w:r w:rsidRPr="001100EF">
        <w:rPr>
          <w:lang w:val="sv-SE"/>
        </w:rPr>
        <w:t>Delay requirements for TCI switching in CA case</w:t>
      </w:r>
    </w:p>
    <w:p w14:paraId="35793821" w14:textId="711190E8" w:rsidR="00F96192" w:rsidRPr="001100EF" w:rsidRDefault="00346173" w:rsidP="001100E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RAN4 will further study whether to specify the TCI switching delay requirement in CA case </w:t>
      </w:r>
    </w:p>
    <w:p w14:paraId="3F46758E" w14:textId="167E2202" w:rsidR="00AC400B" w:rsidRPr="001100EF" w:rsidRDefault="00085833" w:rsidP="001100EF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sv-SE"/>
        </w:rPr>
      </w:pPr>
      <w:r w:rsidRPr="001100EF">
        <w:rPr>
          <w:lang w:val="sv-SE"/>
        </w:rPr>
        <w:t>Requirements for PL-RS switching delay indicated by unified TCI</w:t>
      </w:r>
    </w:p>
    <w:p w14:paraId="129C7435" w14:textId="3DB81384" w:rsidR="00F96192" w:rsidRDefault="009A01B6" w:rsidP="001100E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 w:rsidRPr="00C916BE">
        <w:rPr>
          <w:lang w:val="sv-SE"/>
        </w:rPr>
        <w:t>No extra requirements beyond Rel-17 unified TCI switching delay requirements. Requirements for uplink TCI switching requirements is applied for MAC CE based PL-RS switching and DCI based PL-RS switching</w:t>
      </w:r>
    </w:p>
    <w:p w14:paraId="529FEAB7" w14:textId="59D180D9" w:rsidR="00346173" w:rsidRDefault="00346173" w:rsidP="001100E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Delay </w:t>
      </w:r>
      <w:r w:rsidR="00A85660">
        <w:rPr>
          <w:lang w:val="sv-SE"/>
        </w:rPr>
        <w:t xml:space="preserve">component </w:t>
      </w:r>
      <w:r>
        <w:rPr>
          <w:lang w:val="sv-SE"/>
        </w:rPr>
        <w:t xml:space="preserve">of measuring PL-RS will be specified for the following cases </w:t>
      </w:r>
    </w:p>
    <w:p w14:paraId="0F119313" w14:textId="3656F483" w:rsidR="00346173" w:rsidRDefault="00346173" w:rsidP="0034617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Known TCI but PL-RS is not maintained </w:t>
      </w:r>
    </w:p>
    <w:p w14:paraId="40EF0C19" w14:textId="46983465" w:rsidR="00346173" w:rsidRPr="001100EF" w:rsidRDefault="00346173" w:rsidP="0034617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/>
        </w:rPr>
      </w:pPr>
      <w:r>
        <w:rPr>
          <w:lang w:val="sv-SE"/>
        </w:rPr>
        <w:t xml:space="preserve">Unknow TCI </w:t>
      </w:r>
    </w:p>
    <w:sectPr w:rsidR="00346173" w:rsidRPr="001100EF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6A56F" w14:textId="77777777" w:rsidR="006E0F4D" w:rsidRDefault="006E0F4D" w:rsidP="00533B52">
      <w:pPr>
        <w:spacing w:after="0"/>
      </w:pPr>
      <w:r>
        <w:separator/>
      </w:r>
    </w:p>
  </w:endnote>
  <w:endnote w:type="continuationSeparator" w:id="0">
    <w:p w14:paraId="4AF1229F" w14:textId="77777777" w:rsidR="006E0F4D" w:rsidRDefault="006E0F4D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97149" w14:textId="77777777" w:rsidR="006E0F4D" w:rsidRDefault="006E0F4D" w:rsidP="00533B52">
      <w:pPr>
        <w:spacing w:after="0"/>
      </w:pPr>
      <w:r>
        <w:separator/>
      </w:r>
    </w:p>
  </w:footnote>
  <w:footnote w:type="continuationSeparator" w:id="0">
    <w:p w14:paraId="33E3674C" w14:textId="77777777" w:rsidR="006E0F4D" w:rsidRDefault="006E0F4D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71F1"/>
    <w:multiLevelType w:val="hybridMultilevel"/>
    <w:tmpl w:val="097648A6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5D816EEC"/>
    <w:multiLevelType w:val="hybridMultilevel"/>
    <w:tmpl w:val="3BB61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9"/>
  </w:num>
  <w:num w:numId="4">
    <w:abstractNumId w:val="18"/>
  </w:num>
  <w:num w:numId="5">
    <w:abstractNumId w:val="12"/>
  </w:num>
  <w:num w:numId="6">
    <w:abstractNumId w:val="7"/>
  </w:num>
  <w:num w:numId="7">
    <w:abstractNumId w:val="15"/>
  </w:num>
  <w:num w:numId="8">
    <w:abstractNumId w:val="17"/>
  </w:num>
  <w:num w:numId="9">
    <w:abstractNumId w:val="6"/>
  </w:num>
  <w:num w:numId="10">
    <w:abstractNumId w:val="3"/>
  </w:num>
  <w:num w:numId="11">
    <w:abstractNumId w:val="1"/>
  </w:num>
  <w:num w:numId="12">
    <w:abstractNumId w:val="4"/>
  </w:num>
  <w:num w:numId="13">
    <w:abstractNumId w:val="9"/>
  </w:num>
  <w:num w:numId="14">
    <w:abstractNumId w:val="9"/>
  </w:num>
  <w:num w:numId="15">
    <w:abstractNumId w:val="9"/>
  </w:num>
  <w:num w:numId="16">
    <w:abstractNumId w:val="5"/>
  </w:num>
  <w:num w:numId="17">
    <w:abstractNumId w:val="14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8"/>
  </w:num>
  <w:num w:numId="26">
    <w:abstractNumId w:val="1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26433"/>
    <w:rsid w:val="00030FDC"/>
    <w:rsid w:val="000312E5"/>
    <w:rsid w:val="000323D2"/>
    <w:rsid w:val="00044D7E"/>
    <w:rsid w:val="000537B6"/>
    <w:rsid w:val="00070DB3"/>
    <w:rsid w:val="000755E2"/>
    <w:rsid w:val="00076546"/>
    <w:rsid w:val="00082208"/>
    <w:rsid w:val="00085833"/>
    <w:rsid w:val="000900BE"/>
    <w:rsid w:val="000909CC"/>
    <w:rsid w:val="000A1765"/>
    <w:rsid w:val="000A198B"/>
    <w:rsid w:val="000A51E9"/>
    <w:rsid w:val="000A6A44"/>
    <w:rsid w:val="000C02EC"/>
    <w:rsid w:val="000C2C70"/>
    <w:rsid w:val="000C6F5E"/>
    <w:rsid w:val="000C6FCC"/>
    <w:rsid w:val="000E5184"/>
    <w:rsid w:val="000E5EC1"/>
    <w:rsid w:val="000F07B3"/>
    <w:rsid w:val="00101DD8"/>
    <w:rsid w:val="00102F22"/>
    <w:rsid w:val="001100EF"/>
    <w:rsid w:val="00114006"/>
    <w:rsid w:val="001141D5"/>
    <w:rsid w:val="00122F38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456D"/>
    <w:rsid w:val="001827A3"/>
    <w:rsid w:val="001A7DF8"/>
    <w:rsid w:val="001B70DB"/>
    <w:rsid w:val="001C2F93"/>
    <w:rsid w:val="001D732B"/>
    <w:rsid w:val="001E4B26"/>
    <w:rsid w:val="001E60BF"/>
    <w:rsid w:val="001F0FB8"/>
    <w:rsid w:val="001F5664"/>
    <w:rsid w:val="00207B34"/>
    <w:rsid w:val="00213626"/>
    <w:rsid w:val="00223D9F"/>
    <w:rsid w:val="0023516E"/>
    <w:rsid w:val="00235FF1"/>
    <w:rsid w:val="002526E2"/>
    <w:rsid w:val="00255EC2"/>
    <w:rsid w:val="00263FE2"/>
    <w:rsid w:val="00266371"/>
    <w:rsid w:val="00274DDE"/>
    <w:rsid w:val="00280487"/>
    <w:rsid w:val="002839E0"/>
    <w:rsid w:val="00285D4A"/>
    <w:rsid w:val="00294218"/>
    <w:rsid w:val="0029703B"/>
    <w:rsid w:val="002B6312"/>
    <w:rsid w:val="002B72F1"/>
    <w:rsid w:val="002C18A9"/>
    <w:rsid w:val="002C6D9F"/>
    <w:rsid w:val="002C7307"/>
    <w:rsid w:val="002D671E"/>
    <w:rsid w:val="002E3267"/>
    <w:rsid w:val="003135A5"/>
    <w:rsid w:val="00316497"/>
    <w:rsid w:val="00324D3E"/>
    <w:rsid w:val="00330068"/>
    <w:rsid w:val="0033115A"/>
    <w:rsid w:val="003311FB"/>
    <w:rsid w:val="00332A01"/>
    <w:rsid w:val="00346173"/>
    <w:rsid w:val="003615F7"/>
    <w:rsid w:val="00364D8F"/>
    <w:rsid w:val="00373183"/>
    <w:rsid w:val="003740B6"/>
    <w:rsid w:val="00397C73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242E9"/>
    <w:rsid w:val="00430D4A"/>
    <w:rsid w:val="00437BDE"/>
    <w:rsid w:val="00446EC6"/>
    <w:rsid w:val="0045245F"/>
    <w:rsid w:val="004555CC"/>
    <w:rsid w:val="004607FA"/>
    <w:rsid w:val="0046387C"/>
    <w:rsid w:val="00467F4D"/>
    <w:rsid w:val="004745F6"/>
    <w:rsid w:val="00476A29"/>
    <w:rsid w:val="00482280"/>
    <w:rsid w:val="004827FD"/>
    <w:rsid w:val="0048298D"/>
    <w:rsid w:val="00494BCC"/>
    <w:rsid w:val="00496386"/>
    <w:rsid w:val="00496D7A"/>
    <w:rsid w:val="0049790A"/>
    <w:rsid w:val="004B05EF"/>
    <w:rsid w:val="004B2A87"/>
    <w:rsid w:val="004B3A2B"/>
    <w:rsid w:val="004B55E2"/>
    <w:rsid w:val="004B6D26"/>
    <w:rsid w:val="004D4D3F"/>
    <w:rsid w:val="004E4574"/>
    <w:rsid w:val="004E66E3"/>
    <w:rsid w:val="004E7AEC"/>
    <w:rsid w:val="004F1054"/>
    <w:rsid w:val="004F194C"/>
    <w:rsid w:val="004F621B"/>
    <w:rsid w:val="004F6EFD"/>
    <w:rsid w:val="00504156"/>
    <w:rsid w:val="005166B4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82132"/>
    <w:rsid w:val="00582818"/>
    <w:rsid w:val="005A44F6"/>
    <w:rsid w:val="005A46DD"/>
    <w:rsid w:val="005D3121"/>
    <w:rsid w:val="005D4E99"/>
    <w:rsid w:val="005D7B67"/>
    <w:rsid w:val="005E75C5"/>
    <w:rsid w:val="005F6826"/>
    <w:rsid w:val="006010E4"/>
    <w:rsid w:val="00605388"/>
    <w:rsid w:val="00610B7B"/>
    <w:rsid w:val="0061125A"/>
    <w:rsid w:val="00612155"/>
    <w:rsid w:val="00612C6D"/>
    <w:rsid w:val="006213E9"/>
    <w:rsid w:val="00622754"/>
    <w:rsid w:val="00624EA2"/>
    <w:rsid w:val="00636310"/>
    <w:rsid w:val="00641EEC"/>
    <w:rsid w:val="0064651F"/>
    <w:rsid w:val="00647FE6"/>
    <w:rsid w:val="00651E29"/>
    <w:rsid w:val="00652C62"/>
    <w:rsid w:val="006539F9"/>
    <w:rsid w:val="00666F6F"/>
    <w:rsid w:val="00676268"/>
    <w:rsid w:val="006816C8"/>
    <w:rsid w:val="00683EF5"/>
    <w:rsid w:val="00687D40"/>
    <w:rsid w:val="006A1F5A"/>
    <w:rsid w:val="006C1D4B"/>
    <w:rsid w:val="006C4AE4"/>
    <w:rsid w:val="006D2BBB"/>
    <w:rsid w:val="006D7841"/>
    <w:rsid w:val="006E0F4D"/>
    <w:rsid w:val="006E4375"/>
    <w:rsid w:val="006E5261"/>
    <w:rsid w:val="006F10B3"/>
    <w:rsid w:val="00704FC2"/>
    <w:rsid w:val="00712F55"/>
    <w:rsid w:val="00715657"/>
    <w:rsid w:val="00721CFA"/>
    <w:rsid w:val="00723636"/>
    <w:rsid w:val="00724F37"/>
    <w:rsid w:val="00726531"/>
    <w:rsid w:val="00737134"/>
    <w:rsid w:val="007379E2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94746"/>
    <w:rsid w:val="007A370E"/>
    <w:rsid w:val="007B00A7"/>
    <w:rsid w:val="007C2DA2"/>
    <w:rsid w:val="007C432E"/>
    <w:rsid w:val="007D0973"/>
    <w:rsid w:val="00801C5C"/>
    <w:rsid w:val="008051F5"/>
    <w:rsid w:val="00815697"/>
    <w:rsid w:val="00820A50"/>
    <w:rsid w:val="00820C08"/>
    <w:rsid w:val="008314A8"/>
    <w:rsid w:val="00841456"/>
    <w:rsid w:val="00844E44"/>
    <w:rsid w:val="008463EF"/>
    <w:rsid w:val="00861749"/>
    <w:rsid w:val="00870AEA"/>
    <w:rsid w:val="00870D18"/>
    <w:rsid w:val="00875DCF"/>
    <w:rsid w:val="0088076C"/>
    <w:rsid w:val="00882B5B"/>
    <w:rsid w:val="00882F7F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900F1A"/>
    <w:rsid w:val="00910440"/>
    <w:rsid w:val="009115B5"/>
    <w:rsid w:val="00927301"/>
    <w:rsid w:val="00930A41"/>
    <w:rsid w:val="00930C17"/>
    <w:rsid w:val="00932263"/>
    <w:rsid w:val="009358A3"/>
    <w:rsid w:val="009367AE"/>
    <w:rsid w:val="009369F9"/>
    <w:rsid w:val="00936BFD"/>
    <w:rsid w:val="009463EB"/>
    <w:rsid w:val="00955A0C"/>
    <w:rsid w:val="00960C78"/>
    <w:rsid w:val="00963A7B"/>
    <w:rsid w:val="0097126C"/>
    <w:rsid w:val="00973C76"/>
    <w:rsid w:val="009945E2"/>
    <w:rsid w:val="0099487D"/>
    <w:rsid w:val="00994C9E"/>
    <w:rsid w:val="0099595C"/>
    <w:rsid w:val="00997CD9"/>
    <w:rsid w:val="009A01B6"/>
    <w:rsid w:val="009B4958"/>
    <w:rsid w:val="009C150A"/>
    <w:rsid w:val="009D08AF"/>
    <w:rsid w:val="009D187C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23E5E"/>
    <w:rsid w:val="00A31799"/>
    <w:rsid w:val="00A6172B"/>
    <w:rsid w:val="00A65595"/>
    <w:rsid w:val="00A65CC1"/>
    <w:rsid w:val="00A7504C"/>
    <w:rsid w:val="00A76BA4"/>
    <w:rsid w:val="00A7793D"/>
    <w:rsid w:val="00A80035"/>
    <w:rsid w:val="00A81425"/>
    <w:rsid w:val="00A85660"/>
    <w:rsid w:val="00A85CD7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63AA"/>
    <w:rsid w:val="00AF65DE"/>
    <w:rsid w:val="00B02004"/>
    <w:rsid w:val="00B073D3"/>
    <w:rsid w:val="00B1452E"/>
    <w:rsid w:val="00B15B5D"/>
    <w:rsid w:val="00B3095B"/>
    <w:rsid w:val="00B309E5"/>
    <w:rsid w:val="00B33709"/>
    <w:rsid w:val="00B34EFE"/>
    <w:rsid w:val="00B4061C"/>
    <w:rsid w:val="00B41474"/>
    <w:rsid w:val="00B42FD7"/>
    <w:rsid w:val="00B73261"/>
    <w:rsid w:val="00B772F6"/>
    <w:rsid w:val="00B80601"/>
    <w:rsid w:val="00B858BB"/>
    <w:rsid w:val="00B93FA6"/>
    <w:rsid w:val="00BB08C9"/>
    <w:rsid w:val="00BB4111"/>
    <w:rsid w:val="00BB6872"/>
    <w:rsid w:val="00BB711A"/>
    <w:rsid w:val="00BB7455"/>
    <w:rsid w:val="00BC05A9"/>
    <w:rsid w:val="00BC20B1"/>
    <w:rsid w:val="00BC2883"/>
    <w:rsid w:val="00BC3774"/>
    <w:rsid w:val="00BD1BE2"/>
    <w:rsid w:val="00BD4A10"/>
    <w:rsid w:val="00BD6923"/>
    <w:rsid w:val="00BE1BF2"/>
    <w:rsid w:val="00BE25BF"/>
    <w:rsid w:val="00BE41B7"/>
    <w:rsid w:val="00BE5D2C"/>
    <w:rsid w:val="00BE72CC"/>
    <w:rsid w:val="00BF2490"/>
    <w:rsid w:val="00BF6B0C"/>
    <w:rsid w:val="00C21339"/>
    <w:rsid w:val="00C21742"/>
    <w:rsid w:val="00C31277"/>
    <w:rsid w:val="00C32595"/>
    <w:rsid w:val="00C410BB"/>
    <w:rsid w:val="00C45E61"/>
    <w:rsid w:val="00C571D9"/>
    <w:rsid w:val="00C61721"/>
    <w:rsid w:val="00C62D90"/>
    <w:rsid w:val="00C66100"/>
    <w:rsid w:val="00C7635A"/>
    <w:rsid w:val="00C77C90"/>
    <w:rsid w:val="00C83E9C"/>
    <w:rsid w:val="00C85D6F"/>
    <w:rsid w:val="00C86D31"/>
    <w:rsid w:val="00C916BE"/>
    <w:rsid w:val="00C97413"/>
    <w:rsid w:val="00CA103B"/>
    <w:rsid w:val="00CA5B23"/>
    <w:rsid w:val="00CA6957"/>
    <w:rsid w:val="00CC15CC"/>
    <w:rsid w:val="00CD18D4"/>
    <w:rsid w:val="00CD22DD"/>
    <w:rsid w:val="00CD51C8"/>
    <w:rsid w:val="00CE21CB"/>
    <w:rsid w:val="00CE279D"/>
    <w:rsid w:val="00CE2D8F"/>
    <w:rsid w:val="00CF4459"/>
    <w:rsid w:val="00D138F9"/>
    <w:rsid w:val="00D161CC"/>
    <w:rsid w:val="00D17696"/>
    <w:rsid w:val="00D336D9"/>
    <w:rsid w:val="00D37184"/>
    <w:rsid w:val="00D422AE"/>
    <w:rsid w:val="00D42492"/>
    <w:rsid w:val="00D44ACE"/>
    <w:rsid w:val="00D44F86"/>
    <w:rsid w:val="00D52381"/>
    <w:rsid w:val="00D57557"/>
    <w:rsid w:val="00D62758"/>
    <w:rsid w:val="00D62D2F"/>
    <w:rsid w:val="00D6643E"/>
    <w:rsid w:val="00D73674"/>
    <w:rsid w:val="00D766DC"/>
    <w:rsid w:val="00D76FAC"/>
    <w:rsid w:val="00D859D5"/>
    <w:rsid w:val="00D92F67"/>
    <w:rsid w:val="00D939E8"/>
    <w:rsid w:val="00DB1B17"/>
    <w:rsid w:val="00DC0556"/>
    <w:rsid w:val="00DC584F"/>
    <w:rsid w:val="00DD3255"/>
    <w:rsid w:val="00DE3266"/>
    <w:rsid w:val="00DE604B"/>
    <w:rsid w:val="00DF3092"/>
    <w:rsid w:val="00E0150A"/>
    <w:rsid w:val="00E160BA"/>
    <w:rsid w:val="00E2494D"/>
    <w:rsid w:val="00E34184"/>
    <w:rsid w:val="00E34291"/>
    <w:rsid w:val="00E34FC7"/>
    <w:rsid w:val="00E37529"/>
    <w:rsid w:val="00E62520"/>
    <w:rsid w:val="00E70E39"/>
    <w:rsid w:val="00E82E57"/>
    <w:rsid w:val="00E849AB"/>
    <w:rsid w:val="00E85A0E"/>
    <w:rsid w:val="00E90CE4"/>
    <w:rsid w:val="00E9221E"/>
    <w:rsid w:val="00E95C1C"/>
    <w:rsid w:val="00EA36C8"/>
    <w:rsid w:val="00EB0A35"/>
    <w:rsid w:val="00EB4B16"/>
    <w:rsid w:val="00EB4B9E"/>
    <w:rsid w:val="00EB4CD9"/>
    <w:rsid w:val="00EB69D3"/>
    <w:rsid w:val="00EE213B"/>
    <w:rsid w:val="00EF29BC"/>
    <w:rsid w:val="00EF5606"/>
    <w:rsid w:val="00F02A87"/>
    <w:rsid w:val="00F10719"/>
    <w:rsid w:val="00F10ECD"/>
    <w:rsid w:val="00F1296A"/>
    <w:rsid w:val="00F12CE0"/>
    <w:rsid w:val="00F36826"/>
    <w:rsid w:val="00F56542"/>
    <w:rsid w:val="00F60719"/>
    <w:rsid w:val="00F61977"/>
    <w:rsid w:val="00F64226"/>
    <w:rsid w:val="00F6487D"/>
    <w:rsid w:val="00F72D3D"/>
    <w:rsid w:val="00F87928"/>
    <w:rsid w:val="00F96192"/>
    <w:rsid w:val="00FA6F34"/>
    <w:rsid w:val="00FC2885"/>
    <w:rsid w:val="00FC7DD6"/>
    <w:rsid w:val="00FD28BD"/>
    <w:rsid w:val="00FD3C8C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,목록단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1">
    <w:name w:val="toc 4"/>
    <w:basedOn w:val="31"/>
    <w:rsid w:val="00280487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2804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148FA-DC98-4F5B-9EEF-752D3137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2</cp:revision>
  <dcterms:created xsi:type="dcterms:W3CDTF">2022-01-24T16:45:00Z</dcterms:created>
  <dcterms:modified xsi:type="dcterms:W3CDTF">2022-01-24T16:45:00Z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